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72" w:rsidRDefault="00BD0F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D0F72" w:rsidRDefault="00CB7EDB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AO JUÍZO DA ___ VARA DE FAMÍLIA E REGISTRO CIVIL DA CAPITAL</w:t>
      </w:r>
    </w:p>
    <w:p w:rsidR="00BD0F72" w:rsidRDefault="00BD0F72">
      <w:pPr>
        <w:spacing w:line="360" w:lineRule="auto"/>
        <w:rPr>
          <w:rFonts w:ascii="Arial" w:eastAsia="Arial" w:hAnsi="Arial" w:cs="Arial"/>
        </w:rPr>
      </w:pPr>
    </w:p>
    <w:p w:rsidR="00092E14" w:rsidRDefault="00092E14">
      <w:pPr>
        <w:spacing w:line="360" w:lineRule="auto"/>
        <w:rPr>
          <w:rFonts w:ascii="Arial" w:eastAsia="Arial" w:hAnsi="Arial" w:cs="Arial"/>
        </w:rPr>
      </w:pPr>
    </w:p>
    <w:p w:rsidR="00092E14" w:rsidRDefault="00092E14">
      <w:pPr>
        <w:spacing w:line="360" w:lineRule="auto"/>
        <w:rPr>
          <w:rFonts w:ascii="Arial" w:eastAsia="Arial" w:hAnsi="Arial" w:cs="Arial"/>
        </w:rPr>
      </w:pPr>
    </w:p>
    <w:p w:rsidR="00092E14" w:rsidRDefault="00037E1E" w:rsidP="00092E1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XXX</w:t>
      </w:r>
      <w:r w:rsidR="00390E47" w:rsidRPr="00390E47">
        <w:rPr>
          <w:rFonts w:ascii="Arial" w:eastAsia="Arial" w:hAnsi="Arial" w:cs="Arial"/>
        </w:rPr>
        <w:t xml:space="preserve">, brasileira, divorciada, auxiliar administrativa, domiciliada à </w:t>
      </w:r>
      <w:bookmarkStart w:id="0" w:name="_GoBack"/>
      <w:r w:rsidR="002F76B5">
        <w:rPr>
          <w:rFonts w:ascii="Arial" w:eastAsia="Arial" w:hAnsi="Arial" w:cs="Arial"/>
        </w:rPr>
        <w:t>Rua Numa Pompilio</w:t>
      </w:r>
      <w:r w:rsidR="00390E47" w:rsidRPr="00390E47">
        <w:rPr>
          <w:rFonts w:ascii="Arial" w:eastAsia="Arial" w:hAnsi="Arial" w:cs="Arial"/>
        </w:rPr>
        <w:t xml:space="preserve">, </w:t>
      </w:r>
      <w:r w:rsidR="002F76B5">
        <w:rPr>
          <w:rFonts w:ascii="Arial" w:eastAsia="Arial" w:hAnsi="Arial" w:cs="Arial"/>
        </w:rPr>
        <w:t>n°15</w:t>
      </w:r>
      <w:r w:rsidR="00390E47" w:rsidRPr="00390E47">
        <w:rPr>
          <w:rFonts w:ascii="Arial" w:eastAsia="Arial" w:hAnsi="Arial" w:cs="Arial"/>
        </w:rPr>
        <w:t>1,</w:t>
      </w:r>
      <w:r w:rsidR="002F76B5">
        <w:rPr>
          <w:rFonts w:ascii="Arial" w:eastAsia="Arial" w:hAnsi="Arial" w:cs="Arial"/>
        </w:rPr>
        <w:t xml:space="preserve"> AP-04, bairro Santo Amaro</w:t>
      </w:r>
      <w:r w:rsidR="00390E47" w:rsidRPr="00390E47">
        <w:rPr>
          <w:rFonts w:ascii="Arial" w:eastAsia="Arial" w:hAnsi="Arial" w:cs="Arial"/>
        </w:rPr>
        <w:t>,</w:t>
      </w:r>
      <w:r w:rsidR="002F76B5">
        <w:rPr>
          <w:rFonts w:ascii="Arial" w:eastAsia="Arial" w:hAnsi="Arial" w:cs="Arial"/>
        </w:rPr>
        <w:t xml:space="preserve"> cidade de Recife-PE, CEP: 50.100-330</w:t>
      </w:r>
      <w:bookmarkEnd w:id="0"/>
      <w:r w:rsidR="00390E47" w:rsidRPr="00390E47">
        <w:rPr>
          <w:rFonts w:ascii="Arial" w:eastAsia="Arial" w:hAnsi="Arial" w:cs="Arial"/>
        </w:rPr>
        <w:t xml:space="preserve">, RG: </w:t>
      </w:r>
      <w:r>
        <w:rPr>
          <w:rFonts w:ascii="Arial" w:eastAsia="Arial" w:hAnsi="Arial" w:cs="Arial"/>
        </w:rPr>
        <w:t>XXX</w:t>
      </w:r>
      <w:r w:rsidR="00390E47" w:rsidRPr="00390E47">
        <w:rPr>
          <w:rFonts w:ascii="Arial" w:eastAsia="Arial" w:hAnsi="Arial" w:cs="Arial"/>
        </w:rPr>
        <w:t xml:space="preserve"> SDS/PE e CPF: </w:t>
      </w:r>
      <w:r>
        <w:rPr>
          <w:rFonts w:ascii="Arial" w:eastAsia="Arial" w:hAnsi="Arial" w:cs="Arial"/>
        </w:rPr>
        <w:t xml:space="preserve">XXX </w:t>
      </w:r>
      <w:r w:rsidR="00390E47" w:rsidRPr="00390E47">
        <w:rPr>
          <w:rFonts w:ascii="Arial" w:eastAsia="Arial" w:hAnsi="Arial" w:cs="Arial"/>
          <w:b/>
        </w:rPr>
        <w:t xml:space="preserve">, </w:t>
      </w:r>
      <w:r w:rsidR="00390E47" w:rsidRPr="00390E47">
        <w:rPr>
          <w:rFonts w:ascii="Arial" w:eastAsia="Arial" w:hAnsi="Arial" w:cs="Arial"/>
          <w:b/>
          <w:bCs/>
          <w:i/>
        </w:rPr>
        <w:t>telefone: (81)99869-5547</w:t>
      </w:r>
      <w:r w:rsidR="00092E14">
        <w:rPr>
          <w:rFonts w:ascii="Arial" w:hAnsi="Arial" w:cs="Arial"/>
          <w:color w:val="000000"/>
        </w:rPr>
        <w:t>, assistida</w:t>
      </w:r>
      <w:r w:rsidR="009450C4" w:rsidRPr="009450C4">
        <w:rPr>
          <w:rFonts w:ascii="Arial" w:hAnsi="Arial" w:cs="Arial"/>
          <w:color w:val="000000"/>
        </w:rPr>
        <w:t xml:space="preserve"> pela </w:t>
      </w:r>
      <w:r w:rsidR="009450C4" w:rsidRPr="009450C4">
        <w:rPr>
          <w:rFonts w:ascii="Arial" w:hAnsi="Arial" w:cs="Arial"/>
          <w:b/>
          <w:bCs/>
          <w:color w:val="000000"/>
        </w:rPr>
        <w:t>Defensoria Pública do Estado de Pernambuco</w:t>
      </w:r>
      <w:r w:rsidR="009450C4" w:rsidRPr="009450C4">
        <w:rPr>
          <w:rFonts w:ascii="Arial" w:hAnsi="Arial" w:cs="Arial"/>
          <w:color w:val="000000"/>
        </w:rPr>
        <w:t xml:space="preserve">, conforme o art. 134 da CF/88, através do seu órgão de execução que ao final subscreve, vem à presença de V. Exa. intentar </w:t>
      </w:r>
      <w:r w:rsidR="009450C4" w:rsidRPr="009450C4">
        <w:rPr>
          <w:rFonts w:ascii="Arial" w:hAnsi="Arial" w:cs="Arial"/>
          <w:b/>
          <w:bCs/>
          <w:color w:val="000000"/>
        </w:rPr>
        <w:t>AÇÃO DE</w:t>
      </w:r>
      <w:r w:rsidR="00092E14">
        <w:rPr>
          <w:rFonts w:ascii="Arial" w:eastAsia="Arial" w:hAnsi="Arial" w:cs="Arial"/>
          <w:b/>
        </w:rPr>
        <w:t xml:space="preserve"> GUARDA UNILATERAL</w:t>
      </w:r>
      <w:r w:rsidR="00092E14">
        <w:rPr>
          <w:rFonts w:ascii="Arial" w:eastAsia="Arial" w:hAnsi="Arial" w:cs="Arial"/>
        </w:rPr>
        <w:t xml:space="preserve"> </w:t>
      </w:r>
      <w:r w:rsidR="00390E47">
        <w:rPr>
          <w:rFonts w:ascii="Arial" w:hAnsi="Arial" w:cs="Arial"/>
          <w:color w:val="000000"/>
          <w:u w:val="single"/>
        </w:rPr>
        <w:t>em relação as suas</w:t>
      </w:r>
      <w:r w:rsidR="009450C4" w:rsidRPr="009450C4">
        <w:rPr>
          <w:rFonts w:ascii="Arial" w:hAnsi="Arial" w:cs="Arial"/>
          <w:color w:val="000000"/>
          <w:u w:val="single"/>
        </w:rPr>
        <w:t xml:space="preserve"> </w:t>
      </w:r>
      <w:r w:rsidR="009450C4" w:rsidRPr="009450C4">
        <w:rPr>
          <w:rFonts w:ascii="Arial" w:hAnsi="Arial" w:cs="Arial"/>
          <w:b/>
          <w:bCs/>
          <w:i/>
          <w:iCs/>
          <w:color w:val="000000"/>
          <w:u w:val="single"/>
        </w:rPr>
        <w:t>filh</w:t>
      </w:r>
      <w:r w:rsidR="00390E47">
        <w:rPr>
          <w:rFonts w:ascii="Arial" w:hAnsi="Arial" w:cs="Arial"/>
          <w:b/>
          <w:bCs/>
          <w:i/>
          <w:iCs/>
          <w:color w:val="000000"/>
          <w:u w:val="single"/>
        </w:rPr>
        <w:t>as</w:t>
      </w:r>
      <w:r w:rsidR="009450C4" w:rsidRPr="009450C4">
        <w:rPr>
          <w:rFonts w:ascii="Arial" w:hAnsi="Arial" w:cs="Arial"/>
          <w:color w:val="000000"/>
        </w:rPr>
        <w:t xml:space="preserve"> </w:t>
      </w:r>
      <w:r w:rsidR="00390E47" w:rsidRPr="00390E47">
        <w:rPr>
          <w:rFonts w:ascii="Arial" w:hAnsi="Arial" w:cs="Arial"/>
          <w:i/>
          <w:iCs/>
          <w:color w:val="000000"/>
        </w:rPr>
        <w:t>,menores impúberes</w:t>
      </w:r>
      <w:r w:rsidR="009450C4" w:rsidRPr="009450C4">
        <w:rPr>
          <w:rFonts w:ascii="Arial" w:hAnsi="Arial" w:cs="Arial"/>
          <w:color w:val="000000"/>
        </w:rPr>
        <w:t xml:space="preserve">, </w:t>
      </w:r>
      <w:r w:rsidR="009450C4" w:rsidRPr="009450C4">
        <w:rPr>
          <w:rFonts w:ascii="Arial" w:hAnsi="Arial" w:cs="Arial"/>
          <w:color w:val="000000"/>
          <w:u w:val="single"/>
        </w:rPr>
        <w:t>contra</w:t>
      </w:r>
      <w:r w:rsidR="009450C4" w:rsidRPr="009450C4">
        <w:rPr>
          <w:rFonts w:ascii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</w:rPr>
        <w:t>XXX</w:t>
      </w:r>
      <w:r w:rsidR="00390E47" w:rsidRPr="00390E47">
        <w:rPr>
          <w:rFonts w:ascii="Arial" w:eastAsia="Arial" w:hAnsi="Arial" w:cs="Arial"/>
          <w:b/>
        </w:rPr>
        <w:t xml:space="preserve">, </w:t>
      </w:r>
      <w:r w:rsidR="00390E47" w:rsidRPr="00390E47">
        <w:rPr>
          <w:rFonts w:ascii="Arial" w:eastAsia="Arial" w:hAnsi="Arial" w:cs="Arial"/>
        </w:rPr>
        <w:t xml:space="preserve">brasileiro, divorciado, policial civil, domiciliado à Rua dos Navegantes, n°513, bairro Boa Viagem, cidade de Recife-PE, CEP: 51.021-010, RG: </w:t>
      </w:r>
      <w:r>
        <w:rPr>
          <w:rFonts w:ascii="Arial" w:eastAsia="Arial" w:hAnsi="Arial" w:cs="Arial"/>
        </w:rPr>
        <w:t>XXX</w:t>
      </w:r>
      <w:r w:rsidR="00390E47" w:rsidRPr="00390E47">
        <w:rPr>
          <w:rFonts w:ascii="Arial" w:eastAsia="Arial" w:hAnsi="Arial" w:cs="Arial"/>
        </w:rPr>
        <w:t xml:space="preserve"> SDS/PE, CPF: </w:t>
      </w:r>
      <w:r>
        <w:rPr>
          <w:rFonts w:ascii="Arial" w:eastAsia="Arial" w:hAnsi="Arial" w:cs="Arial"/>
        </w:rPr>
        <w:t xml:space="preserve">XXX </w:t>
      </w:r>
      <w:r w:rsidR="00390E47" w:rsidRPr="00390E47">
        <w:rPr>
          <w:rFonts w:ascii="Arial" w:eastAsia="Arial" w:hAnsi="Arial" w:cs="Arial"/>
        </w:rPr>
        <w:t xml:space="preserve">, </w:t>
      </w:r>
      <w:r w:rsidR="00390E47" w:rsidRPr="00390E47">
        <w:rPr>
          <w:rFonts w:ascii="Arial" w:eastAsia="Arial" w:hAnsi="Arial" w:cs="Arial"/>
          <w:b/>
          <w:i/>
        </w:rPr>
        <w:t xml:space="preserve">telefone: (81) </w:t>
      </w:r>
      <w:r>
        <w:rPr>
          <w:rFonts w:ascii="Arial" w:eastAsia="Arial" w:hAnsi="Arial" w:cs="Arial"/>
          <w:b/>
          <w:i/>
        </w:rPr>
        <w:t>XXX</w:t>
      </w:r>
      <w:r w:rsidR="00092E14">
        <w:rPr>
          <w:rFonts w:ascii="Arial" w:eastAsia="Arial" w:hAnsi="Arial" w:cs="Arial"/>
        </w:rPr>
        <w:t>, pelos fundamentos de fato e de direito que seguem abaixo:</w:t>
      </w:r>
    </w:p>
    <w:p w:rsidR="00BD0F72" w:rsidRDefault="00BD0F72" w:rsidP="00092E14">
      <w:pPr>
        <w:spacing w:line="360" w:lineRule="auto"/>
        <w:jc w:val="both"/>
        <w:rPr>
          <w:rFonts w:ascii="Arial" w:eastAsia="Arial" w:hAnsi="Arial" w:cs="Arial"/>
        </w:rPr>
      </w:pPr>
    </w:p>
    <w:p w:rsidR="00BD0F72" w:rsidRDefault="00CB7EDB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FATOS:</w:t>
      </w:r>
    </w:p>
    <w:p w:rsidR="00BD0F72" w:rsidRDefault="00A847D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requerente relacionou-se com o réu e deste relacionamento amoroso nasceram as suas filhas – </w:t>
      </w:r>
      <w:r w:rsidRPr="00390E47">
        <w:rPr>
          <w:rFonts w:ascii="Arial" w:eastAsia="Arial" w:hAnsi="Arial" w:cs="Arial"/>
        </w:rPr>
        <w:t>SOPHIA RODRIGUES NUNES</w:t>
      </w:r>
      <w:r>
        <w:rPr>
          <w:rFonts w:ascii="Arial" w:eastAsia="Arial" w:hAnsi="Arial" w:cs="Arial"/>
        </w:rPr>
        <w:t xml:space="preserve"> e </w:t>
      </w:r>
      <w:r>
        <w:rPr>
          <w:rFonts w:ascii="Arial" w:hAnsi="Arial" w:cs="Arial"/>
          <w:color w:val="000000"/>
        </w:rPr>
        <w:t>LIZ RODRIGUES NUNES</w:t>
      </w:r>
      <w:r>
        <w:rPr>
          <w:rFonts w:ascii="Arial" w:eastAsia="Arial" w:hAnsi="Arial" w:cs="Arial"/>
        </w:rPr>
        <w:t>, menores impúberes nascidas em 09/06/2014 e 14/12/2019</w:t>
      </w:r>
      <w:r w:rsidR="00CB7EDB">
        <w:rPr>
          <w:rFonts w:ascii="Arial" w:eastAsia="Arial" w:hAnsi="Arial" w:cs="Arial"/>
        </w:rPr>
        <w:t>.</w:t>
      </w:r>
    </w:p>
    <w:p w:rsidR="00BD0F72" w:rsidRDefault="00CB7EDB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Assim, conforme </w:t>
      </w:r>
      <w:r w:rsidR="00403C4A">
        <w:rPr>
          <w:rFonts w:ascii="Arial" w:eastAsia="Arial" w:hAnsi="Arial" w:cs="Arial"/>
        </w:rPr>
        <w:t>se verifica</w:t>
      </w:r>
      <w:r>
        <w:rPr>
          <w:rFonts w:ascii="Arial" w:eastAsia="Arial" w:hAnsi="Arial" w:cs="Arial"/>
        </w:rPr>
        <w:t xml:space="preserve"> na</w:t>
      </w:r>
      <w:r w:rsidR="004644F9">
        <w:rPr>
          <w:rFonts w:ascii="Arial" w:eastAsia="Arial" w:hAnsi="Arial" w:cs="Arial"/>
        </w:rPr>
        <w:t>s Certidões de Nascimento colacionadas</w:t>
      </w:r>
      <w:r>
        <w:rPr>
          <w:rFonts w:ascii="Arial" w:eastAsia="Arial" w:hAnsi="Arial" w:cs="Arial"/>
        </w:rPr>
        <w:t>, o</w:t>
      </w:r>
      <w:r w:rsidR="00403C4A">
        <w:rPr>
          <w:rFonts w:ascii="Arial" w:eastAsia="Arial" w:hAnsi="Arial" w:cs="Arial"/>
        </w:rPr>
        <w:t xml:space="preserve"> réu é pai da</w:t>
      </w:r>
      <w:r w:rsidR="004644F9">
        <w:rPr>
          <w:rFonts w:ascii="Arial" w:eastAsia="Arial" w:hAnsi="Arial" w:cs="Arial"/>
        </w:rPr>
        <w:t>s</w:t>
      </w:r>
      <w:r w:rsidR="00403C4A">
        <w:rPr>
          <w:rFonts w:ascii="Arial" w:eastAsia="Arial" w:hAnsi="Arial" w:cs="Arial"/>
        </w:rPr>
        <w:t xml:space="preserve"> criança</w:t>
      </w:r>
      <w:r w:rsidR="004644F9">
        <w:rPr>
          <w:rFonts w:ascii="Arial" w:eastAsia="Arial" w:hAnsi="Arial" w:cs="Arial"/>
        </w:rPr>
        <w:t>s</w:t>
      </w:r>
      <w:r w:rsidR="00403C4A">
        <w:rPr>
          <w:rFonts w:ascii="Arial" w:eastAsia="Arial" w:hAnsi="Arial" w:cs="Arial"/>
        </w:rPr>
        <w:t xml:space="preserve">, estando </w:t>
      </w:r>
      <w:r w:rsidR="00987A28">
        <w:rPr>
          <w:rFonts w:ascii="Arial" w:eastAsia="Arial" w:hAnsi="Arial" w:cs="Arial"/>
        </w:rPr>
        <w:t>à</w:t>
      </w:r>
      <w:r w:rsidR="004644F9">
        <w:rPr>
          <w:rFonts w:ascii="Arial" w:eastAsia="Arial" w:hAnsi="Arial" w:cs="Arial"/>
        </w:rPr>
        <w:t xml:space="preserve"> autora com a guarda de fato das filhas</w:t>
      </w:r>
      <w:r>
        <w:rPr>
          <w:rFonts w:ascii="Arial" w:eastAsia="Arial" w:hAnsi="Arial" w:cs="Arial"/>
        </w:rPr>
        <w:t>.</w:t>
      </w:r>
    </w:p>
    <w:p w:rsidR="00912D42" w:rsidRDefault="00987A28" w:rsidP="00987A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987A28">
        <w:rPr>
          <w:rFonts w:ascii="Arial" w:eastAsia="Arial" w:hAnsi="Arial" w:cs="Arial"/>
        </w:rPr>
        <w:t xml:space="preserve">Ademais, é de suma importância pontuar que, </w:t>
      </w:r>
      <w:r w:rsidR="004644F9">
        <w:rPr>
          <w:rFonts w:ascii="Arial" w:eastAsia="Arial" w:hAnsi="Arial" w:cs="Arial"/>
        </w:rPr>
        <w:t>a genitora está pretendendo viajar para Portugal com escopo de auferir melhores condições de vida para ela e para as filhas</w:t>
      </w:r>
      <w:r w:rsidR="00912D42">
        <w:rPr>
          <w:rFonts w:ascii="Arial" w:eastAsia="Arial" w:hAnsi="Arial" w:cs="Arial"/>
        </w:rPr>
        <w:t xml:space="preserve">. </w:t>
      </w:r>
      <w:r w:rsidR="004644F9">
        <w:rPr>
          <w:rFonts w:ascii="Arial" w:eastAsia="Arial" w:hAnsi="Arial" w:cs="Arial"/>
        </w:rPr>
        <w:t xml:space="preserve">Além de desejar estudar e se profissionalizar em solo estrangeiro. </w:t>
      </w:r>
      <w:r w:rsidR="00912D42">
        <w:rPr>
          <w:rFonts w:ascii="Arial" w:eastAsia="Arial" w:hAnsi="Arial" w:cs="Arial"/>
        </w:rPr>
        <w:t xml:space="preserve"> </w:t>
      </w:r>
    </w:p>
    <w:p w:rsidR="00BD0F72" w:rsidRDefault="00CB7E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987A28">
        <w:rPr>
          <w:rFonts w:ascii="Arial" w:eastAsia="Arial" w:hAnsi="Arial" w:cs="Arial"/>
        </w:rPr>
        <w:t>Informa, ainda, a autora que está com a guarda de fato da</w:t>
      </w:r>
      <w:r w:rsidR="002F6509">
        <w:rPr>
          <w:rFonts w:ascii="Arial" w:eastAsia="Arial" w:hAnsi="Arial" w:cs="Arial"/>
        </w:rPr>
        <w:t>s</w:t>
      </w:r>
      <w:r w:rsidRPr="00987A28">
        <w:rPr>
          <w:rFonts w:ascii="Arial" w:eastAsia="Arial" w:hAnsi="Arial" w:cs="Arial"/>
        </w:rPr>
        <w:t xml:space="preserve"> criança</w:t>
      </w:r>
      <w:r w:rsidR="002F6509">
        <w:rPr>
          <w:rFonts w:ascii="Arial" w:eastAsia="Arial" w:hAnsi="Arial" w:cs="Arial"/>
        </w:rPr>
        <w:t>s</w:t>
      </w:r>
      <w:r w:rsidRPr="00987A28">
        <w:rPr>
          <w:rFonts w:ascii="Arial" w:eastAsia="Arial" w:hAnsi="Arial" w:cs="Arial"/>
        </w:rPr>
        <w:t xml:space="preserve"> desde a separação do casal. Aqui é preciso ser esclarecido que a demandante vem querendo regularizar judicialmente a </w:t>
      </w:r>
      <w:r w:rsidR="002F6509">
        <w:rPr>
          <w:rFonts w:ascii="Arial" w:eastAsia="Arial" w:hAnsi="Arial" w:cs="Arial"/>
        </w:rPr>
        <w:t>situação de guarda unilateral das</w:t>
      </w:r>
      <w:r w:rsidRPr="00987A28">
        <w:rPr>
          <w:rFonts w:ascii="Arial" w:eastAsia="Arial" w:hAnsi="Arial" w:cs="Arial"/>
        </w:rPr>
        <w:t xml:space="preserve"> menor</w:t>
      </w:r>
      <w:r w:rsidR="002F6509">
        <w:rPr>
          <w:rFonts w:ascii="Arial" w:eastAsia="Arial" w:hAnsi="Arial" w:cs="Arial"/>
        </w:rPr>
        <w:t>es</w:t>
      </w:r>
      <w:r w:rsidRPr="00987A28">
        <w:rPr>
          <w:rFonts w:ascii="Arial" w:eastAsia="Arial" w:hAnsi="Arial" w:cs="Arial"/>
        </w:rPr>
        <w:t>.</w:t>
      </w:r>
    </w:p>
    <w:p w:rsidR="00BD0F72" w:rsidRDefault="00CB7E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Diante deste quadro caótico, objetivando o </w:t>
      </w:r>
      <w:r w:rsidR="00757466">
        <w:rPr>
          <w:rFonts w:ascii="Arial" w:eastAsia="Arial" w:hAnsi="Arial" w:cs="Arial"/>
        </w:rPr>
        <w:t>bem-estar</w:t>
      </w:r>
      <w:r>
        <w:rPr>
          <w:rFonts w:ascii="Arial" w:eastAsia="Arial" w:hAnsi="Arial" w:cs="Arial"/>
        </w:rPr>
        <w:t xml:space="preserve"> da</w:t>
      </w:r>
      <w:r w:rsidR="002F6509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criança</w:t>
      </w:r>
      <w:r w:rsidR="002F6509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, a autora desej</w:t>
      </w:r>
      <w:r w:rsidR="002F6509">
        <w:rPr>
          <w:rFonts w:ascii="Arial" w:eastAsia="Arial" w:hAnsi="Arial" w:cs="Arial"/>
        </w:rPr>
        <w:t>a exercer a guarda unilateral das</w:t>
      </w:r>
      <w:r>
        <w:rPr>
          <w:rFonts w:ascii="Arial" w:eastAsia="Arial" w:hAnsi="Arial" w:cs="Arial"/>
        </w:rPr>
        <w:t xml:space="preserve"> menor</w:t>
      </w:r>
      <w:r w:rsidR="002F6509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>, e, para tanto, propõe a presente ação.</w:t>
      </w:r>
    </w:p>
    <w:p w:rsidR="00BD0F72" w:rsidRDefault="00BD0F72">
      <w:pPr>
        <w:spacing w:line="360" w:lineRule="auto"/>
        <w:ind w:left="720"/>
        <w:jc w:val="both"/>
        <w:rPr>
          <w:rFonts w:ascii="Arial" w:eastAsia="Arial" w:hAnsi="Arial" w:cs="Arial"/>
        </w:rPr>
      </w:pPr>
    </w:p>
    <w:p w:rsidR="00BD0F72" w:rsidRDefault="00CB7EDB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DIREITO:</w:t>
      </w:r>
    </w:p>
    <w:p w:rsidR="00BD0F72" w:rsidRDefault="00BD0F72">
      <w:pPr>
        <w:spacing w:line="360" w:lineRule="auto"/>
        <w:ind w:firstLine="709"/>
        <w:jc w:val="both"/>
        <w:rPr>
          <w:rFonts w:ascii="Arial" w:eastAsia="Arial" w:hAnsi="Arial" w:cs="Arial"/>
          <w:i/>
          <w:sz w:val="20"/>
          <w:szCs w:val="20"/>
        </w:rPr>
      </w:pPr>
    </w:p>
    <w:p w:rsidR="00BA519A" w:rsidRDefault="00CB7EDB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acordo com o artigo </w:t>
      </w:r>
      <w:r w:rsidR="00BA519A">
        <w:rPr>
          <w:rFonts w:ascii="Arial" w:eastAsia="Arial" w:hAnsi="Arial" w:cs="Arial"/>
        </w:rPr>
        <w:t>1.583, §1° e §3°</w:t>
      </w:r>
      <w:r w:rsidR="00FC6044">
        <w:rPr>
          <w:rFonts w:ascii="Arial" w:eastAsia="Arial" w:hAnsi="Arial" w:cs="Arial"/>
        </w:rPr>
        <w:t>, o qual diz</w:t>
      </w:r>
      <w:r w:rsidR="00BA519A">
        <w:rPr>
          <w:rFonts w:ascii="Arial" w:eastAsia="Arial" w:hAnsi="Arial" w:cs="Arial"/>
        </w:rPr>
        <w:t xml:space="preserve"> que:</w:t>
      </w:r>
    </w:p>
    <w:p w:rsidR="00BA519A" w:rsidRPr="00FC6044" w:rsidRDefault="00BA519A" w:rsidP="00FC6044">
      <w:pPr>
        <w:spacing w:before="120" w:line="276" w:lineRule="auto"/>
        <w:ind w:left="2268"/>
        <w:rPr>
          <w:rFonts w:ascii="Arial" w:hAnsi="Arial" w:cs="Arial"/>
          <w:sz w:val="20"/>
          <w:szCs w:val="20"/>
        </w:rPr>
      </w:pPr>
      <w:r w:rsidRPr="00FC6044">
        <w:rPr>
          <w:rFonts w:ascii="Arial" w:hAnsi="Arial" w:cs="Arial"/>
          <w:sz w:val="20"/>
          <w:szCs w:val="20"/>
        </w:rPr>
        <w:t>A guarda será unilateral ou compartilhada. (Redação dada pela Lei nº 11.698, de 2008).</w:t>
      </w:r>
    </w:p>
    <w:p w:rsidR="00BA519A" w:rsidRPr="00FC6044" w:rsidRDefault="00BA519A" w:rsidP="00FC6044">
      <w:pPr>
        <w:spacing w:before="120" w:line="276" w:lineRule="auto"/>
        <w:ind w:left="2268"/>
        <w:rPr>
          <w:rFonts w:ascii="Arial" w:hAnsi="Arial" w:cs="Arial"/>
          <w:sz w:val="20"/>
          <w:szCs w:val="20"/>
        </w:rPr>
      </w:pPr>
      <w:r w:rsidRPr="00FC6044">
        <w:rPr>
          <w:rStyle w:val="Forte"/>
          <w:rFonts w:ascii="Arial" w:hAnsi="Arial" w:cs="Arial"/>
          <w:sz w:val="20"/>
          <w:szCs w:val="20"/>
        </w:rPr>
        <w:t>§ 1º</w:t>
      </w:r>
      <w:r w:rsidRPr="00FC6044">
        <w:rPr>
          <w:rFonts w:ascii="Arial" w:hAnsi="Arial" w:cs="Arial"/>
          <w:sz w:val="20"/>
          <w:szCs w:val="20"/>
        </w:rPr>
        <w:t> Compreende-se por guarda unilateral a atribuída a um só dos genitores ou a alguém que o substitua ( art. 1.584, § 5 o ) e, por guarda compartilhada a responsabilização conjunta e o exercício de direitos e deveres do pai e da mãe que não vivam sob o mesmo teto, concernentes ao poder familiar dos filhos comuns. (Incluído pela Lei nº 11.698, de 2008).</w:t>
      </w:r>
    </w:p>
    <w:p w:rsidR="00BA519A" w:rsidRPr="00FC6044" w:rsidRDefault="00BA519A" w:rsidP="00FC6044">
      <w:pPr>
        <w:spacing w:line="276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FC6044">
        <w:rPr>
          <w:rFonts w:ascii="Arial" w:eastAsia="Arial" w:hAnsi="Arial" w:cs="Arial"/>
          <w:b/>
          <w:bCs/>
          <w:sz w:val="20"/>
          <w:szCs w:val="20"/>
        </w:rPr>
        <w:t>§ 5º</w:t>
      </w:r>
      <w:r w:rsidRPr="00FC6044">
        <w:rPr>
          <w:rFonts w:ascii="Arial" w:eastAsia="Arial" w:hAnsi="Arial" w:cs="Arial"/>
          <w:sz w:val="20"/>
          <w:szCs w:val="20"/>
        </w:rPr>
        <w:t> A guarda unilateral obriga o pai ou a mãe que não a detenha a supervisionar os interesses dos filhos, e, para possibilitar tal supervisão, qualquer dos genitores sempre será parte legítima para solicitar informações e/ou prestação de contas, objetivas ou subjetivas, em assuntos ou situações que direta ou indiretamente afetem a saúde física e psicológica e a educação de seus filhos. </w:t>
      </w:r>
    </w:p>
    <w:p w:rsidR="00BD0F72" w:rsidRDefault="00CB7EDB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1.584, I do Código Civil, a guarda exclusiva a um dos genitores decorre do consenso de ambos ou quando um deles declara ao juiz que não deseja a guarda compartilhada.</w:t>
      </w:r>
      <w:r w:rsidR="00BA519A">
        <w:rPr>
          <w:rFonts w:ascii="Arial" w:eastAsia="Arial" w:hAnsi="Arial" w:cs="Arial"/>
        </w:rPr>
        <w:t xml:space="preserve">  </w:t>
      </w:r>
    </w:p>
    <w:p w:rsidR="00BD0F72" w:rsidRDefault="00CB7E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guarda unilateral pode ser fixada além da vontade de um dos genitores em não querer a guarda compartilhada bem como também na verificação de inaptidão, evidenciada, dentre outros, na falta de zelo e cuidado com o filho, por meio de </w:t>
      </w:r>
      <w:hyperlink r:id="rId8">
        <w:r>
          <w:rPr>
            <w:rFonts w:ascii="Arial" w:eastAsia="Arial" w:hAnsi="Arial" w:cs="Arial"/>
          </w:rPr>
          <w:t xml:space="preserve">abuso de autoridade </w:t>
        </w:r>
      </w:hyperlink>
      <w:r>
        <w:rPr>
          <w:rFonts w:ascii="Arial" w:eastAsia="Arial" w:hAnsi="Arial" w:cs="Arial"/>
        </w:rPr>
        <w:t>ou descumprimento de deveres paternos ou maternos. Nesse sentido, a jurisprudência:</w:t>
      </w:r>
    </w:p>
    <w:p w:rsidR="00BD0F72" w:rsidRDefault="00CB7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4"/>
        <w:jc w:val="both"/>
        <w:rPr>
          <w:rFonts w:ascii="Arial" w:eastAsia="Arial" w:hAnsi="Arial" w:cs="Arial"/>
        </w:rPr>
      </w:pPr>
      <w:r>
        <w:rPr>
          <w:i/>
        </w:rPr>
        <w:t xml:space="preserve">AGRAVO DE INSTRUMENTO. GUARDA COMPARTILHADA. RESIDÊNCIA HABITUAL MATERNA E REGIME DE CONVIVÊNCIA PATERNO-FILIAL. A redação atual do artigo 1.584, § 2º Código Civil (introduzido pela Lei 13.058/14) dispõe que a guarda compartilhada é a regra há ser aplicada, mesmo em caso de </w:t>
      </w:r>
      <w:r>
        <w:rPr>
          <w:i/>
        </w:rPr>
        <w:lastRenderedPageBreak/>
        <w:t xml:space="preserve">dissenso entre o casal, somente não se aplicando na hipótese de inaptidão por um dos genitores ao exercício do poder familiar ou quando algum dos pais expressamente declarar o desinteresse em exercer a guarda. Caso em que a guarda compartilhada vai regulamentada, com fixação da residência habitual materna e regime de convivência paterno-filial em finais de semana alternados com pernoite. DERAM PROVIMENTO. (Agravo de Instrumento Nº 70065259194, Oitava Câmara Cível, Tribunal de Justiça do RS, Relator: José Pedro de Oliveira Eckert, Julgado em 20/08/2015). (TJ-RS - AI: 70065259194 RS, Relator: José Pedro de Oliveira Eckert, Data de Julgamento: 20/08/2015, Oitava Câmara Cível, Data de Publicação: Diário da Justiça do dia 25/08/2015). </w:t>
      </w:r>
    </w:p>
    <w:p w:rsidR="00BD0F72" w:rsidRDefault="00CB7E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Acontece que diante do cenário disposto, resta incontroverso que a autora possui melhores condições para exercer a guarda unilateral. Portanto, requer seja respeitado e cumprido os interesses que melhor beneficiem os direitos da criança, por ser a requerente pessoa que possui melhores condições econômicas e afetivas de criar, educar e oferecer um presente e futuro digno a seu filho, tudo amparado pelo art. 70 do ECA que dispõe ser: </w:t>
      </w:r>
    </w:p>
    <w:p w:rsidR="00BD0F72" w:rsidRDefault="00CB7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4"/>
        <w:jc w:val="both"/>
      </w:pPr>
      <w:r>
        <w:rPr>
          <w:i/>
        </w:rPr>
        <w:t>“dever de todos prevenir a ocorrência de ameaça ou violação dos direitos da criança e do adolescente”.</w:t>
      </w:r>
    </w:p>
    <w:p w:rsidR="00BD0F72" w:rsidRDefault="00CB7E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Aqui não se deve esquecer que o pedido de guarda do filho por seu pai vem de encontro ao </w:t>
      </w:r>
      <w:r>
        <w:rPr>
          <w:b/>
          <w:i/>
        </w:rPr>
        <w:t>Princípio do Melhor Interesse do Menor</w:t>
      </w:r>
      <w:r>
        <w:rPr>
          <w:rFonts w:ascii="Arial" w:eastAsia="Arial" w:hAnsi="Arial" w:cs="Arial"/>
        </w:rPr>
        <w:t xml:space="preserve">, uma vez que com tal medida ter-se-á como responsável </w:t>
      </w:r>
      <w:r w:rsidR="00757466">
        <w:rPr>
          <w:rFonts w:ascii="Arial" w:eastAsia="Arial" w:hAnsi="Arial" w:cs="Arial"/>
        </w:rPr>
        <w:t>pelo infante pessoa capaz</w:t>
      </w:r>
      <w:r>
        <w:rPr>
          <w:rFonts w:ascii="Arial" w:eastAsia="Arial" w:hAnsi="Arial" w:cs="Arial"/>
        </w:rPr>
        <w:t>, carinhosa, com vínculo de afinidade e afetividade, além de ter grau de parentesco com o adolescente, tudo conforme o § 3º do art. 28 do ECA.</w:t>
      </w:r>
    </w:p>
    <w:p w:rsidR="00BD0F72" w:rsidRDefault="00CB7EDB">
      <w:pPr>
        <w:numPr>
          <w:ilvl w:val="0"/>
          <w:numId w:val="2"/>
        </w:numPr>
        <w:tabs>
          <w:tab w:val="left" w:pos="360"/>
        </w:tabs>
        <w:spacing w:after="200" w:line="276" w:lineRule="auto"/>
        <w:ind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b/>
          <w:i/>
        </w:rPr>
        <w:t>Princípio do Melhor Interesse do Menor</w:t>
      </w:r>
      <w:r>
        <w:rPr>
          <w:rFonts w:ascii="Arial" w:eastAsia="Arial" w:hAnsi="Arial" w:cs="Arial"/>
        </w:rPr>
        <w:t xml:space="preserve"> está previsto no art. 227 da CF/88 que dispõe:</w:t>
      </w:r>
    </w:p>
    <w:p w:rsidR="00BD0F72" w:rsidRDefault="00CB7EDB">
      <w:pPr>
        <w:tabs>
          <w:tab w:val="left" w:pos="360"/>
        </w:tabs>
        <w:spacing w:after="200" w:line="276" w:lineRule="auto"/>
        <w:ind w:left="2834" w:right="44"/>
        <w:jc w:val="both"/>
        <w:rPr>
          <w:rFonts w:ascii="Arial" w:eastAsia="Arial" w:hAnsi="Arial" w:cs="Arial"/>
        </w:rPr>
      </w:pPr>
      <w:r>
        <w:rPr>
          <w:i/>
        </w:rPr>
        <w:lastRenderedPageBreak/>
        <w:t>“</w:t>
      </w:r>
      <w:r>
        <w:rPr>
          <w:b/>
          <w:i/>
        </w:rPr>
        <w:t>É dever</w:t>
      </w:r>
      <w:r>
        <w:rPr>
          <w:i/>
        </w:rPr>
        <w:t xml:space="preserve"> da família, da sociedade e do Estado </w:t>
      </w:r>
      <w:r>
        <w:rPr>
          <w:b/>
          <w:i/>
        </w:rPr>
        <w:t>assegurar à criança e ao adolescente, com absoluta prioridade</w:t>
      </w:r>
      <w:r>
        <w:rPr>
          <w:i/>
        </w:rPr>
        <w:t xml:space="preserve">, </w:t>
      </w:r>
      <w:r>
        <w:rPr>
          <w:i/>
          <w:u w:val="single"/>
        </w:rPr>
        <w:t>o direito</w:t>
      </w:r>
      <w:r>
        <w:rPr>
          <w:i/>
        </w:rPr>
        <w:t xml:space="preserve"> à vida, à saúde, à alimentação, à educação, ao lazer, à profissionalização, à cultura, à dignidade, ao respeito, à liberdade e </w:t>
      </w:r>
      <w:r>
        <w:rPr>
          <w:i/>
          <w:u w:val="single"/>
        </w:rPr>
        <w:t>à convivência familiar</w:t>
      </w:r>
      <w:r>
        <w:rPr>
          <w:i/>
        </w:rPr>
        <w:t xml:space="preserve"> e comunitária, além de colocá-los a salvo de toda forma de negligência, discriminação, exploração, violência, crueldade e opressão”.</w:t>
      </w:r>
    </w:p>
    <w:p w:rsidR="00BD0F72" w:rsidRDefault="00CB7EDB">
      <w:pPr>
        <w:numPr>
          <w:ilvl w:val="0"/>
          <w:numId w:val="2"/>
        </w:numPr>
        <w:tabs>
          <w:tab w:val="left" w:pos="360"/>
        </w:tabs>
        <w:spacing w:after="200" w:line="276" w:lineRule="auto"/>
        <w:ind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conforme a brilhante doutrina do familiarista mineiro e presidente do IBDFAM, gestão 2.012, Rodrigo da Cunha Pereira:</w:t>
      </w:r>
    </w:p>
    <w:p w:rsidR="00BD0F72" w:rsidRDefault="00CB7EDB">
      <w:pPr>
        <w:spacing w:after="200" w:line="276" w:lineRule="auto"/>
        <w:ind w:left="2834" w:right="1124"/>
        <w:jc w:val="both"/>
      </w:pPr>
      <w:r>
        <w:rPr>
          <w:i/>
        </w:rPr>
        <w:t>“Zelar pelo interesse do menor é cuidar da sua boa formação moral, social e psíquica. É a busca da saúde mental, a preservação da sua estrutura emocional e de seu convívio social. François Dolto, através do seu olhar interdisciplinar, sustenta que a disciplina da matéria deve atender a três referencias de continuidade:</w:t>
      </w:r>
    </w:p>
    <w:p w:rsidR="00BD0F72" w:rsidRDefault="00CB7ED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4" w:right="1124"/>
        <w:jc w:val="both"/>
        <w:rPr>
          <w:i/>
        </w:rPr>
      </w:pPr>
      <w:r>
        <w:rPr>
          <w:i/>
        </w:rPr>
        <w:t>- a continuum de afetividade;</w:t>
      </w:r>
    </w:p>
    <w:p w:rsidR="00BD0F72" w:rsidRDefault="00CB7ED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4" w:right="1124"/>
        <w:jc w:val="both"/>
        <w:rPr>
          <w:i/>
        </w:rPr>
      </w:pPr>
      <w:r>
        <w:rPr>
          <w:i/>
        </w:rPr>
        <w:t>- a continuum social, que indica a necessidade de preservação do ambiente e do relacionamento social, até então vivido pela criança;</w:t>
      </w:r>
    </w:p>
    <w:p w:rsidR="00BD0F72" w:rsidRDefault="00CB7ED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4" w:right="1124"/>
        <w:jc w:val="both"/>
      </w:pPr>
      <w:r>
        <w:rPr>
          <w:i/>
        </w:rPr>
        <w:t xml:space="preserve">- a continuum espacial, determinando que o espaço da criança deve ser preservado, porque a personalidade do menor é construída dentro de um certo espaço. </w:t>
      </w:r>
      <w:r w:rsidR="00497930">
        <w:rPr>
          <w:i/>
        </w:rPr>
        <w:t>“Quando há mudança de espaço, do lugar onde vive, pode ela perder um dos seus referenciais”</w:t>
      </w:r>
      <w:r>
        <w:rPr>
          <w:i/>
        </w:rPr>
        <w:t>. (Princípios Fundamentais Norteadores do Direito de Família, Editora Saraiva, 2ª edição, pág. 160).</w:t>
      </w:r>
    </w:p>
    <w:p w:rsidR="00BD0F72" w:rsidRDefault="00CB7EDB">
      <w:pPr>
        <w:numPr>
          <w:ilvl w:val="0"/>
          <w:numId w:val="2"/>
        </w:numPr>
        <w:tabs>
          <w:tab w:val="left" w:pos="360"/>
        </w:tabs>
        <w:spacing w:after="200" w:line="276" w:lineRule="auto"/>
        <w:ind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arremata o mesmo autor dizendo na obra citada que:</w:t>
      </w:r>
    </w:p>
    <w:p w:rsidR="00BD0F72" w:rsidRDefault="00CB7ED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4" w:right="1124"/>
        <w:jc w:val="both"/>
        <w:rPr>
          <w:i/>
        </w:rPr>
      </w:pPr>
      <w:r>
        <w:rPr>
          <w:i/>
        </w:rPr>
        <w:t xml:space="preserve">“O Princípio do melhor interesse da criança e do adolescente tem suas na mudança havida na estrutura familiar nos últimos tempos, por meio do qual ela despojou-se de sua função econômica para ser um núcleo </w:t>
      </w:r>
      <w:r>
        <w:rPr>
          <w:i/>
        </w:rPr>
        <w:lastRenderedPageBreak/>
        <w:t>de companheirismo e afetividade, lócus do amor, sonho afeto e companheirismo (...) A família passou a valer somente enquanto fosse veiculadora da valorização do sujeito e a dignidade de todos os seus membros. Diante deste quadro, o menor ganha destaque especial no ambiente familiar, em razão de ainda não ter alcançado maturidade suficiente para conduzir a própria vida sozinho. Precisa dos pais – ou de alguém que exerça a função materna e paterna – para lhe conduzir ao exercício de sua autonomia”.(págs. 148 e 149).</w:t>
      </w:r>
    </w:p>
    <w:p w:rsidR="009450C4" w:rsidRPr="009450C4" w:rsidRDefault="009450C4" w:rsidP="009450C4">
      <w:pPr>
        <w:pStyle w:val="PargrafodaLista"/>
        <w:numPr>
          <w:ilvl w:val="0"/>
          <w:numId w:val="5"/>
        </w:numPr>
        <w:spacing w:after="200" w:line="276" w:lineRule="auto"/>
        <w:ind w:right="11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9450C4">
        <w:rPr>
          <w:rFonts w:ascii="Arial" w:eastAsia="Arial" w:hAnsi="Arial" w:cs="Arial"/>
        </w:rPr>
        <w:t>TUTELA PROVISÓRIA DE URGÊNCIA ANTECIPADA EM CARÁTER INCIDENTAL, pelos termos que passa a dispor.</w:t>
      </w:r>
    </w:p>
    <w:p w:rsidR="009450C4" w:rsidRDefault="009450C4" w:rsidP="009450C4">
      <w:pPr>
        <w:pStyle w:val="PargrafodaLista"/>
        <w:spacing w:after="200" w:line="276" w:lineRule="auto"/>
        <w:ind w:right="1124"/>
        <w:jc w:val="both"/>
        <w:rPr>
          <w:rFonts w:ascii="Arial" w:eastAsia="Arial" w:hAnsi="Arial" w:cs="Arial"/>
        </w:rPr>
      </w:pPr>
    </w:p>
    <w:p w:rsidR="009450C4" w:rsidRDefault="009450C4" w:rsidP="009450C4">
      <w:pPr>
        <w:pStyle w:val="PargrafodaLista"/>
        <w:spacing w:after="200" w:line="276" w:lineRule="auto"/>
        <w:ind w:right="11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 efeito, dispõe o art. 294 do Código de Processo Civil:</w:t>
      </w:r>
    </w:p>
    <w:p w:rsidR="009450C4" w:rsidRDefault="009450C4" w:rsidP="009450C4">
      <w:pPr>
        <w:spacing w:after="200" w:line="276" w:lineRule="auto"/>
        <w:ind w:left="2834" w:right="1124"/>
        <w:jc w:val="both"/>
        <w:rPr>
          <w:rFonts w:ascii="Arial" w:eastAsia="Arial" w:hAnsi="Arial" w:cs="Arial"/>
        </w:rPr>
      </w:pPr>
    </w:p>
    <w:p w:rsidR="009450C4" w:rsidRDefault="009450C4" w:rsidP="009450C4">
      <w:pPr>
        <w:spacing w:after="200" w:line="276" w:lineRule="auto"/>
        <w:ind w:left="2834" w:right="1124"/>
        <w:jc w:val="both"/>
        <w:rPr>
          <w:rFonts w:eastAsia="Arial"/>
          <w:i/>
          <w:iCs/>
        </w:rPr>
      </w:pPr>
      <w:r>
        <w:rPr>
          <w:rFonts w:eastAsia="Arial"/>
          <w:i/>
          <w:iCs/>
        </w:rPr>
        <w:t>Art. 294. A tutela provisória pode fundamentar-se em urgência ou evidência.</w:t>
      </w:r>
    </w:p>
    <w:p w:rsidR="009450C4" w:rsidRDefault="009450C4" w:rsidP="009450C4">
      <w:pPr>
        <w:spacing w:after="200" w:line="276" w:lineRule="auto"/>
        <w:ind w:left="2834" w:right="1124"/>
        <w:jc w:val="both"/>
        <w:rPr>
          <w:rFonts w:eastAsia="Arial"/>
          <w:i/>
          <w:iCs/>
        </w:rPr>
      </w:pPr>
      <w:r>
        <w:rPr>
          <w:rFonts w:eastAsia="Arial"/>
          <w:i/>
          <w:iCs/>
        </w:rPr>
        <w:t>Parágrafo único. A tutela provisória de urgência, cautelar ou antecipada, pode ser concedida em caráter antecedente ou incidental.</w:t>
      </w:r>
    </w:p>
    <w:p w:rsidR="009450C4" w:rsidRDefault="009450C4" w:rsidP="009450C4">
      <w:pPr>
        <w:spacing w:after="200" w:line="276" w:lineRule="auto"/>
        <w:ind w:right="11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Em seguida, reza o art. 300 do mesmo diploma:</w:t>
      </w:r>
    </w:p>
    <w:p w:rsidR="009450C4" w:rsidRDefault="009450C4" w:rsidP="009450C4">
      <w:pPr>
        <w:spacing w:after="200" w:line="276" w:lineRule="auto"/>
        <w:ind w:left="2834" w:right="1124"/>
        <w:jc w:val="both"/>
        <w:rPr>
          <w:rFonts w:ascii="Arial" w:eastAsia="Arial" w:hAnsi="Arial" w:cs="Arial"/>
        </w:rPr>
      </w:pPr>
    </w:p>
    <w:p w:rsidR="009450C4" w:rsidRDefault="009450C4" w:rsidP="009450C4">
      <w:pPr>
        <w:spacing w:after="200" w:line="276" w:lineRule="auto"/>
        <w:ind w:left="2834" w:right="1124"/>
        <w:jc w:val="both"/>
        <w:rPr>
          <w:rFonts w:eastAsia="Arial"/>
          <w:i/>
          <w:iCs/>
        </w:rPr>
      </w:pPr>
      <w:r>
        <w:rPr>
          <w:rFonts w:eastAsia="Arial"/>
          <w:i/>
          <w:iCs/>
        </w:rPr>
        <w:t>Art. 300. A tutela de urgência será concedida quando houver elementos que evidenciem a probabilidade do direito e o perigo de dano ou o risco ao resultado útil do processo.</w:t>
      </w:r>
    </w:p>
    <w:p w:rsidR="009450C4" w:rsidRDefault="009450C4" w:rsidP="009450C4">
      <w:pPr>
        <w:spacing w:after="200" w:line="276" w:lineRule="auto"/>
        <w:ind w:left="2834" w:right="1124"/>
        <w:jc w:val="both"/>
        <w:rPr>
          <w:rFonts w:eastAsia="Arial"/>
          <w:i/>
          <w:iCs/>
        </w:rPr>
      </w:pPr>
      <w:r>
        <w:rPr>
          <w:rFonts w:eastAsia="Arial"/>
          <w:i/>
          <w:iCs/>
        </w:rPr>
        <w:t xml:space="preserve">§ 1° Para a concessão da tutela de urgência, o juiz pode, conforme o caso, exigir caução real ou fidejussória idônea para ressarcir os danos que a outra parte possa vir a </w:t>
      </w:r>
      <w:r>
        <w:rPr>
          <w:rFonts w:eastAsia="Arial"/>
          <w:i/>
          <w:iCs/>
        </w:rPr>
        <w:lastRenderedPageBreak/>
        <w:t>sofrer, podendo a caução ser dispensada se a parte economicamente hipossuficiente não puder oferecê-la.</w:t>
      </w:r>
    </w:p>
    <w:p w:rsidR="009450C4" w:rsidRDefault="009450C4" w:rsidP="009450C4">
      <w:pPr>
        <w:spacing w:after="200" w:line="276" w:lineRule="auto"/>
        <w:ind w:left="2834" w:right="1124"/>
        <w:jc w:val="both"/>
        <w:rPr>
          <w:rFonts w:eastAsia="Arial"/>
          <w:i/>
          <w:iCs/>
        </w:rPr>
      </w:pPr>
      <w:r>
        <w:rPr>
          <w:rFonts w:eastAsia="Arial"/>
          <w:i/>
          <w:iCs/>
        </w:rPr>
        <w:t>§ 2° A tutela de urgência pode ser concedida liminarmente ou após justificação prévia.</w:t>
      </w:r>
    </w:p>
    <w:p w:rsidR="009450C4" w:rsidRDefault="009450C4" w:rsidP="009450C4">
      <w:pPr>
        <w:spacing w:after="200" w:line="276" w:lineRule="auto"/>
        <w:ind w:left="2834" w:right="1124"/>
        <w:jc w:val="both"/>
        <w:rPr>
          <w:rFonts w:eastAsia="Arial"/>
          <w:i/>
          <w:iCs/>
        </w:rPr>
      </w:pPr>
      <w:r>
        <w:rPr>
          <w:rFonts w:eastAsia="Arial"/>
          <w:i/>
          <w:iCs/>
        </w:rPr>
        <w:t>§ 3° A tutela de urgência de natureza antecipada não será concedida quando houver perigo de irreversibilidade dos efeitos da decisão. (...)</w:t>
      </w:r>
    </w:p>
    <w:p w:rsidR="009450C4" w:rsidRDefault="009450C4" w:rsidP="009450C4">
      <w:pPr>
        <w:spacing w:after="200" w:line="276" w:lineRule="auto"/>
        <w:ind w:left="2834" w:right="1124"/>
        <w:jc w:val="both"/>
        <w:rPr>
          <w:rFonts w:ascii="Arial" w:eastAsia="Arial" w:hAnsi="Arial" w:cs="Arial"/>
        </w:rPr>
      </w:pPr>
    </w:p>
    <w:p w:rsidR="009450C4" w:rsidRDefault="009450C4" w:rsidP="009450C4">
      <w:pPr>
        <w:spacing w:after="200" w:line="276" w:lineRule="auto"/>
        <w:ind w:right="1124"/>
        <w:jc w:val="both"/>
        <w:rPr>
          <w:rFonts w:ascii="Arial" w:eastAsia="Arial" w:hAnsi="Arial" w:cs="Arial"/>
        </w:rPr>
      </w:pPr>
      <w:r w:rsidRPr="002F6509">
        <w:rPr>
          <w:rFonts w:ascii="Arial" w:eastAsia="Arial" w:hAnsi="Arial" w:cs="Arial"/>
        </w:rPr>
        <w:t>Assim, considerando o teor do caso, requer a peticionante o pedido de tutela provisória de urgência, que por sua vez se justifica para salvaguardar a proteção da criança, garantindo a sua segurança, de modo que seja regularizada a guarda unilateral da</w:t>
      </w:r>
      <w:r w:rsidR="002F6509" w:rsidRPr="002F6509">
        <w:rPr>
          <w:rFonts w:ascii="Arial" w:eastAsia="Arial" w:hAnsi="Arial" w:cs="Arial"/>
        </w:rPr>
        <w:t>s</w:t>
      </w:r>
      <w:r w:rsidRPr="002F6509">
        <w:rPr>
          <w:rFonts w:ascii="Arial" w:eastAsia="Arial" w:hAnsi="Arial" w:cs="Arial"/>
        </w:rPr>
        <w:t xml:space="preserve"> menor</w:t>
      </w:r>
      <w:r w:rsidR="002F6509" w:rsidRPr="002F6509">
        <w:rPr>
          <w:rFonts w:ascii="Arial" w:eastAsia="Arial" w:hAnsi="Arial" w:cs="Arial"/>
        </w:rPr>
        <w:t>es</w:t>
      </w:r>
      <w:r w:rsidRPr="002F6509">
        <w:rPr>
          <w:rFonts w:ascii="Arial" w:eastAsia="Arial" w:hAnsi="Arial" w:cs="Arial"/>
        </w:rPr>
        <w:t xml:space="preserve"> com</w:t>
      </w:r>
      <w:r w:rsidR="002F6509" w:rsidRPr="002F6509">
        <w:rPr>
          <w:rFonts w:ascii="Arial" w:eastAsia="Arial" w:hAnsi="Arial" w:cs="Arial"/>
        </w:rPr>
        <w:t xml:space="preserve"> a genitora, diante dos</w:t>
      </w:r>
      <w:r w:rsidRPr="002F6509">
        <w:rPr>
          <w:rFonts w:ascii="Arial" w:eastAsia="Arial" w:hAnsi="Arial" w:cs="Arial"/>
        </w:rPr>
        <w:t xml:space="preserve"> fatos elucidados na exordial.</w:t>
      </w:r>
    </w:p>
    <w:p w:rsidR="00207132" w:rsidRDefault="002071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4" w:right="1124"/>
        <w:jc w:val="both"/>
        <w:rPr>
          <w:rFonts w:ascii="Arial" w:eastAsia="Arial" w:hAnsi="Arial" w:cs="Arial"/>
        </w:rPr>
      </w:pPr>
    </w:p>
    <w:p w:rsidR="00BD0F72" w:rsidRDefault="00CB7EDB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PEDIDOS:</w:t>
      </w:r>
    </w:p>
    <w:p w:rsidR="00BD0F72" w:rsidRDefault="00CB7EDB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Face ao exposto, requer que seja:</w:t>
      </w:r>
    </w:p>
    <w:p w:rsidR="00BD0F72" w:rsidRDefault="00CB7EDB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Julgado procedente o pedido para que seja </w:t>
      </w:r>
      <w:r>
        <w:rPr>
          <w:rFonts w:ascii="Arial" w:eastAsia="Arial" w:hAnsi="Arial" w:cs="Arial"/>
          <w:b/>
        </w:rPr>
        <w:t>det</w:t>
      </w:r>
      <w:r w:rsidR="002F6509">
        <w:rPr>
          <w:rFonts w:ascii="Arial" w:eastAsia="Arial" w:hAnsi="Arial" w:cs="Arial"/>
          <w:b/>
        </w:rPr>
        <w:t>erminada a guarda unilateral das</w:t>
      </w:r>
      <w:r w:rsidR="007E190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menor</w:t>
      </w:r>
      <w:r w:rsidR="002F6509"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</w:rPr>
        <w:t xml:space="preserve"> com a sua genitora;</w:t>
      </w:r>
    </w:p>
    <w:p w:rsidR="00BD0F72" w:rsidRDefault="007E1903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Citado</w:t>
      </w:r>
      <w:r w:rsidR="00CB7ED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</w:t>
      </w:r>
      <w:r w:rsidR="00CB7EDB">
        <w:rPr>
          <w:rFonts w:ascii="Arial" w:eastAsia="Arial" w:hAnsi="Arial" w:cs="Arial"/>
        </w:rPr>
        <w:t xml:space="preserve"> ré</w:t>
      </w:r>
      <w:r>
        <w:rPr>
          <w:rFonts w:ascii="Arial" w:eastAsia="Arial" w:hAnsi="Arial" w:cs="Arial"/>
        </w:rPr>
        <w:t>u</w:t>
      </w:r>
      <w:r w:rsidR="00CB7EDB">
        <w:rPr>
          <w:rFonts w:ascii="Arial" w:eastAsia="Arial" w:hAnsi="Arial" w:cs="Arial"/>
        </w:rPr>
        <w:t xml:space="preserve"> para se defender, sob pena de revelia;</w:t>
      </w:r>
    </w:p>
    <w:p w:rsidR="00BD0F72" w:rsidRDefault="00CB7EDB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Condenado o réu aos</w:t>
      </w:r>
      <w:r>
        <w:rPr>
          <w:rFonts w:ascii="Arial" w:eastAsia="Arial" w:hAnsi="Arial" w:cs="Arial"/>
          <w:b/>
        </w:rPr>
        <w:t xml:space="preserve"> honorários sucumbenciais</w:t>
      </w:r>
      <w:r>
        <w:rPr>
          <w:rFonts w:ascii="Arial" w:eastAsia="Arial" w:hAnsi="Arial" w:cs="Arial"/>
        </w:rPr>
        <w:t xml:space="preserve"> em favor da Defensoria Pública do Estado de Pernambuco;</w:t>
      </w:r>
    </w:p>
    <w:p w:rsidR="00BD0F72" w:rsidRDefault="00CB7EDB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Concedido o </w:t>
      </w:r>
      <w:r>
        <w:rPr>
          <w:rFonts w:ascii="Arial" w:eastAsia="Arial" w:hAnsi="Arial" w:cs="Arial"/>
          <w:b/>
        </w:rPr>
        <w:t>benefício da gratuidade da justiça</w:t>
      </w:r>
      <w:r>
        <w:rPr>
          <w:rFonts w:ascii="Arial" w:eastAsia="Arial" w:hAnsi="Arial" w:cs="Arial"/>
        </w:rPr>
        <w:t xml:space="preserve"> (arts. 98 e 99 do CPC/15) ao autor, uma vez que pobre no sentido legal (declaração anexa), não pode arcar com as despesas do processo sem prejuízo do seu sustento;</w:t>
      </w:r>
    </w:p>
    <w:p w:rsidR="00BD0F72" w:rsidRDefault="00CB7EDB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Intimado pessoalmente, com vista dos autos, com todos os prazos em dobro o Defensor Público </w:t>
      </w:r>
      <w:r>
        <w:rPr>
          <w:rFonts w:ascii="Arial" w:eastAsia="Arial" w:hAnsi="Arial" w:cs="Arial"/>
        </w:rPr>
        <w:t xml:space="preserve">(art. 5º, § 5º da lei 1.060/50; art. 128, I da lei complementar </w:t>
      </w:r>
      <w:r>
        <w:rPr>
          <w:rFonts w:ascii="Arial" w:eastAsia="Arial" w:hAnsi="Arial" w:cs="Arial"/>
        </w:rPr>
        <w:lastRenderedPageBreak/>
        <w:t>federal 80/94 e art. 46, I da lei complementar estadual 20/98) que atua nesta douta Vara, onde recebe as intimações de estilo;</w:t>
      </w:r>
    </w:p>
    <w:p w:rsidR="00BD0F72" w:rsidRDefault="00CB7EDB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Intimado o Ministério Público</w:t>
      </w:r>
      <w:r>
        <w:rPr>
          <w:rFonts w:ascii="Arial" w:eastAsia="Arial" w:hAnsi="Arial" w:cs="Arial"/>
        </w:rPr>
        <w:t xml:space="preserve"> na pessoa de seu ilustre representante.</w:t>
      </w:r>
    </w:p>
    <w:p w:rsidR="00BD0F72" w:rsidRDefault="00CB7EDB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Declaro autênticos os documentos juntados (art. 425, IV e VI do CPC/15).</w:t>
      </w:r>
    </w:p>
    <w:p w:rsidR="00BD0F72" w:rsidRDefault="00CB7EDB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Requer provar o alegado mediante a produção de todos os meios de prova em direito admitidos, especialmente, documental e testemunhal.</w:t>
      </w:r>
    </w:p>
    <w:p w:rsidR="00BD0F72" w:rsidRDefault="00CB7EDB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Dá-se à causa o valor de </w:t>
      </w:r>
      <w:r w:rsidR="002F6509">
        <w:rPr>
          <w:rFonts w:ascii="Arial" w:eastAsia="Arial" w:hAnsi="Arial" w:cs="Arial"/>
          <w:b/>
        </w:rPr>
        <w:t>R$ 1.212</w:t>
      </w:r>
      <w:r>
        <w:rPr>
          <w:rFonts w:ascii="Arial" w:eastAsia="Arial" w:hAnsi="Arial" w:cs="Arial"/>
          <w:b/>
        </w:rPr>
        <w:t>,00</w:t>
      </w:r>
      <w:r w:rsidR="002F6509">
        <w:rPr>
          <w:rFonts w:ascii="Arial" w:eastAsia="Arial" w:hAnsi="Arial" w:cs="Arial"/>
        </w:rPr>
        <w:t xml:space="preserve"> (mil duzentos e doze</w:t>
      </w:r>
      <w:r>
        <w:rPr>
          <w:rFonts w:ascii="Arial" w:eastAsia="Arial" w:hAnsi="Arial" w:cs="Arial"/>
        </w:rPr>
        <w:t xml:space="preserve"> reais) para efeitos meramente fiscais.</w:t>
      </w:r>
    </w:p>
    <w:p w:rsidR="00BD0F72" w:rsidRDefault="00BD0F72">
      <w:pPr>
        <w:spacing w:line="360" w:lineRule="auto"/>
        <w:ind w:firstLine="709"/>
        <w:rPr>
          <w:rFonts w:ascii="Arial" w:eastAsia="Arial" w:hAnsi="Arial" w:cs="Arial"/>
        </w:rPr>
      </w:pPr>
    </w:p>
    <w:p w:rsidR="00BD0F72" w:rsidRDefault="00CB7ED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Termos em que,</w:t>
      </w:r>
    </w:p>
    <w:p w:rsidR="00BD0F72" w:rsidRDefault="00CB7ED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BD0F72" w:rsidRDefault="00BD0F72">
      <w:pPr>
        <w:spacing w:line="360" w:lineRule="auto"/>
        <w:jc w:val="center"/>
        <w:rPr>
          <w:rFonts w:ascii="Arial" w:eastAsia="Arial" w:hAnsi="Arial" w:cs="Arial"/>
        </w:rPr>
      </w:pPr>
    </w:p>
    <w:p w:rsidR="00BD0F72" w:rsidRDefault="002F6509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Recife, 12</w:t>
      </w:r>
      <w:r w:rsidR="00CB7EDB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maio de 2022</w:t>
      </w:r>
      <w:r w:rsidR="00CB7EDB">
        <w:rPr>
          <w:rFonts w:ascii="Arial" w:eastAsia="Arial" w:hAnsi="Arial" w:cs="Arial"/>
        </w:rPr>
        <w:t>.</w:t>
      </w:r>
    </w:p>
    <w:p w:rsidR="00BD0F72" w:rsidRDefault="00BD0F72">
      <w:pPr>
        <w:spacing w:line="360" w:lineRule="auto"/>
        <w:rPr>
          <w:rFonts w:ascii="Arial" w:eastAsia="Arial" w:hAnsi="Arial" w:cs="Arial"/>
        </w:rPr>
      </w:pPr>
    </w:p>
    <w:p w:rsidR="00BD0F72" w:rsidRDefault="00BD0F72">
      <w:pPr>
        <w:spacing w:line="360" w:lineRule="auto"/>
        <w:rPr>
          <w:rFonts w:ascii="Arial" w:eastAsia="Arial" w:hAnsi="Arial" w:cs="Arial"/>
        </w:rPr>
      </w:pPr>
    </w:p>
    <w:p w:rsidR="00BD0F72" w:rsidRPr="007E1903" w:rsidRDefault="00CB7EDB">
      <w:pPr>
        <w:spacing w:line="360" w:lineRule="auto"/>
        <w:jc w:val="center"/>
        <w:rPr>
          <w:rFonts w:ascii="Arial" w:eastAsia="Arial" w:hAnsi="Arial" w:cs="Arial"/>
        </w:rPr>
      </w:pPr>
      <w:r w:rsidRPr="007E1903">
        <w:rPr>
          <w:rFonts w:ascii="Arial" w:eastAsia="Arial" w:hAnsi="Arial" w:cs="Arial"/>
        </w:rPr>
        <w:t>Eduardo José Tassara Tavares – Mat. 297.288-3</w:t>
      </w:r>
    </w:p>
    <w:p w:rsidR="00BD0F72" w:rsidRDefault="00CB7E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Defensor Público do Estado de Pernambuco</w:t>
      </w:r>
    </w:p>
    <w:p w:rsidR="00BD0F72" w:rsidRDefault="00BD0F72" w:rsidP="007E1903">
      <w:pPr>
        <w:spacing w:line="360" w:lineRule="auto"/>
        <w:rPr>
          <w:rFonts w:ascii="Arial" w:eastAsia="Arial" w:hAnsi="Arial" w:cs="Arial"/>
          <w:b/>
        </w:rPr>
      </w:pPr>
    </w:p>
    <w:p w:rsidR="00BD0F72" w:rsidRPr="007E1903" w:rsidRDefault="007E1903">
      <w:pPr>
        <w:spacing w:line="360" w:lineRule="auto"/>
        <w:jc w:val="center"/>
        <w:rPr>
          <w:rFonts w:ascii="Arial" w:eastAsia="Arial" w:hAnsi="Arial" w:cs="Arial"/>
        </w:rPr>
      </w:pPr>
      <w:r w:rsidRPr="007E1903">
        <w:rPr>
          <w:rFonts w:ascii="Arial" w:eastAsia="Arial" w:hAnsi="Arial" w:cs="Arial"/>
        </w:rPr>
        <w:t>Anielly Soares de Freitas</w:t>
      </w:r>
    </w:p>
    <w:p w:rsidR="00BD0F72" w:rsidRDefault="007E190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Acadêmica de Direito</w:t>
      </w:r>
    </w:p>
    <w:sectPr w:rsidR="00BD0F72" w:rsidSect="00BD0F72">
      <w:headerReference w:type="default" r:id="rId9"/>
      <w:footerReference w:type="default" r:id="rId10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9C" w:rsidRDefault="00F4309C" w:rsidP="00BD0F72">
      <w:r>
        <w:separator/>
      </w:r>
    </w:p>
  </w:endnote>
  <w:endnote w:type="continuationSeparator" w:id="1">
    <w:p w:rsidR="00F4309C" w:rsidRDefault="00F4309C" w:rsidP="00BD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12" w:rsidRDefault="00E60A12" w:rsidP="00E60A12">
    <w:pPr>
      <w:pStyle w:val="Rodap"/>
      <w:jc w:val="center"/>
    </w:pPr>
    <w:r>
      <w:t>Defensoria Pública do Estado de Pernambuco</w:t>
    </w:r>
  </w:p>
  <w:p w:rsidR="00E60A12" w:rsidRDefault="00E60A12" w:rsidP="00E60A12">
    <w:pPr>
      <w:pStyle w:val="Rodap"/>
      <w:jc w:val="center"/>
    </w:pPr>
    <w:r>
      <w:t>Av. Manoel Borba, 640, bairro Boa Vista, Recife-PE.</w:t>
    </w:r>
  </w:p>
  <w:p w:rsidR="00E60A12" w:rsidRDefault="00E60A12" w:rsidP="00E60A12">
    <w:pPr>
      <w:pStyle w:val="Rodap"/>
      <w:jc w:val="center"/>
    </w:pPr>
    <w:r>
      <w:t>Núcleo de Família - Telefone: (81) 98460-1602</w:t>
    </w:r>
  </w:p>
  <w:p w:rsidR="00E60A12" w:rsidRDefault="00E60A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9C" w:rsidRDefault="00F4309C" w:rsidP="00BD0F72">
      <w:r>
        <w:separator/>
      </w:r>
    </w:p>
  </w:footnote>
  <w:footnote w:type="continuationSeparator" w:id="1">
    <w:p w:rsidR="00F4309C" w:rsidRDefault="00F4309C" w:rsidP="00BD0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12" w:rsidRDefault="00E60A12" w:rsidP="00E60A12">
    <w:pPr>
      <w:pStyle w:val="Cabealho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>
          <wp:extent cx="2952750" cy="108585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0A12" w:rsidRDefault="00E60A12" w:rsidP="00E60A12">
    <w:pPr>
      <w:pStyle w:val="Cabealho"/>
      <w:jc w:val="center"/>
    </w:pPr>
    <w:r>
      <w:t>SUBDEFENSORIA CÍVEL DA CAPITAL – NÚCLEO TEMÁTICO DE FAMÍLIA</w:t>
    </w:r>
  </w:p>
  <w:p w:rsidR="00E60A12" w:rsidRDefault="00E60A12" w:rsidP="00E60A12">
    <w:pPr>
      <w:pStyle w:val="Cabealho"/>
      <w:jc w:val="center"/>
    </w:pPr>
    <w:r>
      <w:t>Av. Manoel Borba, nº 640, Boa Vista – Recife/PE – CEP: 50070-045.</w:t>
    </w:r>
  </w:p>
  <w:p w:rsidR="00E60A12" w:rsidRDefault="00E60A12" w:rsidP="00E60A12">
    <w:pPr>
      <w:pStyle w:val="Cabealho"/>
      <w:jc w:val="center"/>
    </w:pPr>
    <w:r>
      <w:t>E-mail: nucleo.familia@defensoria.pe.gov.br</w:t>
    </w:r>
  </w:p>
  <w:p w:rsidR="00BD0F72" w:rsidRPr="00E60A12" w:rsidRDefault="00E60A12" w:rsidP="00E60A12">
    <w:pPr>
      <w:pStyle w:val="Cabealho"/>
      <w:jc w:val="center"/>
    </w:pPr>
    <w:r>
      <w:t>Telefone: (81) 98460-1602</w:t>
    </w:r>
  </w:p>
  <w:p w:rsidR="00BD0F72" w:rsidRDefault="00BD0F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238"/>
    <w:multiLevelType w:val="multilevel"/>
    <w:tmpl w:val="489260A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2FBF"/>
    <w:multiLevelType w:val="multilevel"/>
    <w:tmpl w:val="5DDC34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DFD"/>
    <w:multiLevelType w:val="multilevel"/>
    <w:tmpl w:val="71D8D45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631B8"/>
    <w:multiLevelType w:val="multilevel"/>
    <w:tmpl w:val="2B2A51E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2745D"/>
    <w:multiLevelType w:val="hybridMultilevel"/>
    <w:tmpl w:val="BCD0EA78"/>
    <w:lvl w:ilvl="0" w:tplc="66D6A7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D0F72"/>
    <w:rsid w:val="00037E1E"/>
    <w:rsid w:val="00092E14"/>
    <w:rsid w:val="00207132"/>
    <w:rsid w:val="002F6509"/>
    <w:rsid w:val="002F76B5"/>
    <w:rsid w:val="00341B0B"/>
    <w:rsid w:val="00390E47"/>
    <w:rsid w:val="003A5728"/>
    <w:rsid w:val="003B2D17"/>
    <w:rsid w:val="00403C4A"/>
    <w:rsid w:val="004046CF"/>
    <w:rsid w:val="00463CBF"/>
    <w:rsid w:val="004644F9"/>
    <w:rsid w:val="00497930"/>
    <w:rsid w:val="00757466"/>
    <w:rsid w:val="007E1903"/>
    <w:rsid w:val="008161D5"/>
    <w:rsid w:val="008A534A"/>
    <w:rsid w:val="00912D42"/>
    <w:rsid w:val="009450C4"/>
    <w:rsid w:val="009877AA"/>
    <w:rsid w:val="00987A28"/>
    <w:rsid w:val="00A847D2"/>
    <w:rsid w:val="00AA3229"/>
    <w:rsid w:val="00BA519A"/>
    <w:rsid w:val="00BD0F72"/>
    <w:rsid w:val="00BE5B30"/>
    <w:rsid w:val="00CB7EDB"/>
    <w:rsid w:val="00D95A51"/>
    <w:rsid w:val="00E60A12"/>
    <w:rsid w:val="00F4309C"/>
    <w:rsid w:val="00FB523E"/>
    <w:rsid w:val="00FC6044"/>
    <w:rsid w:val="00FD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46"/>
  </w:style>
  <w:style w:type="paragraph" w:styleId="Ttulo1">
    <w:name w:val="heading 1"/>
    <w:basedOn w:val="Normal"/>
    <w:next w:val="Normal"/>
    <w:uiPriority w:val="9"/>
    <w:qFormat/>
    <w:rsid w:val="003D4546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D0F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D0F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D0F7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D0F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D0F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D0F72"/>
  </w:style>
  <w:style w:type="table" w:customStyle="1" w:styleId="TableNormal">
    <w:name w:val="Table Normal"/>
    <w:rsid w:val="00BD0F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D0F7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D0F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D45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4546"/>
    <w:pPr>
      <w:tabs>
        <w:tab w:val="center" w:pos="4320"/>
        <w:tab w:val="right" w:pos="8640"/>
      </w:tabs>
    </w:pPr>
  </w:style>
  <w:style w:type="paragraph" w:styleId="Legenda">
    <w:name w:val="caption"/>
    <w:basedOn w:val="Normal"/>
    <w:next w:val="Normal"/>
    <w:qFormat/>
    <w:rsid w:val="003D4546"/>
    <w:pPr>
      <w:jc w:val="center"/>
    </w:pPr>
    <w:rPr>
      <w:rFonts w:ascii="Arial" w:hAnsi="Arial"/>
      <w:b/>
      <w:sz w:val="22"/>
    </w:rPr>
  </w:style>
  <w:style w:type="paragraph" w:styleId="Corpodetexto">
    <w:name w:val="Body Text"/>
    <w:basedOn w:val="Normal"/>
    <w:rsid w:val="003D4546"/>
    <w:pPr>
      <w:jc w:val="both"/>
    </w:pPr>
    <w:rPr>
      <w:b/>
      <w:i/>
    </w:rPr>
  </w:style>
  <w:style w:type="paragraph" w:styleId="Recuodecorpodetexto">
    <w:name w:val="Body Text Indent"/>
    <w:basedOn w:val="Normal"/>
    <w:rsid w:val="003D4546"/>
    <w:pPr>
      <w:ind w:left="2268"/>
      <w:jc w:val="center"/>
    </w:pPr>
    <w:rPr>
      <w:b/>
      <w:bCs/>
      <w:sz w:val="36"/>
    </w:rPr>
  </w:style>
  <w:style w:type="character" w:customStyle="1" w:styleId="CabealhoChar">
    <w:name w:val="Cabeçalho Char"/>
    <w:link w:val="Cabealho"/>
    <w:uiPriority w:val="99"/>
    <w:rsid w:val="00942CC7"/>
    <w:rPr>
      <w:sz w:val="24"/>
    </w:rPr>
  </w:style>
  <w:style w:type="character" w:styleId="Hyperlink">
    <w:name w:val="Hyperlink"/>
    <w:basedOn w:val="Fontepargpadro"/>
    <w:rsid w:val="00710075"/>
    <w:rPr>
      <w:color w:val="0563C1" w:themeColor="hyperlink"/>
      <w:u w:val="single"/>
    </w:rPr>
  </w:style>
  <w:style w:type="table" w:styleId="Tabelacomgrade">
    <w:name w:val="Table Grid"/>
    <w:basedOn w:val="Tabelanormal"/>
    <w:rsid w:val="00BC1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6768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rsid w:val="00BD0F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12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E60A12"/>
  </w:style>
  <w:style w:type="paragraph" w:styleId="PargrafodaLista">
    <w:name w:val="List Paragraph"/>
    <w:basedOn w:val="Normal"/>
    <w:uiPriority w:val="34"/>
    <w:qFormat/>
    <w:rsid w:val="009450C4"/>
    <w:pPr>
      <w:ind w:left="720"/>
      <w:contextualSpacing/>
    </w:pPr>
    <w:rPr>
      <w:lang w:eastAsia="ko-KR"/>
    </w:rPr>
  </w:style>
  <w:style w:type="character" w:styleId="Forte">
    <w:name w:val="Strong"/>
    <w:basedOn w:val="Fontepargpadro"/>
    <w:uiPriority w:val="22"/>
    <w:qFormat/>
    <w:rsid w:val="00BA5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43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956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122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327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1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3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8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4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530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316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045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tudo/abuso-de-autorida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O0idkM374OEf5KwbvsA+YT6CLw==">AMUW2mWX+vg2QVnzw8XPqGbtEZmimvR8Ze5P3BS7ZWywlXMCEqinf3YlLM5JZOrS1iNxLnpunMesG96nLJJzUkCqxRLckfxM6QD5TKL8PNw6guEk3ilOcFU=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1586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edgar.dornelas</cp:lastModifiedBy>
  <cp:revision>8</cp:revision>
  <dcterms:created xsi:type="dcterms:W3CDTF">2022-05-06T12:56:00Z</dcterms:created>
  <dcterms:modified xsi:type="dcterms:W3CDTF">2022-07-11T13:35:00Z</dcterms:modified>
</cp:coreProperties>
</file>